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4D6C3B1F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502AA3">
        <w:rPr>
          <w:rFonts w:cs="Arial"/>
          <w:sz w:val="24"/>
          <w:szCs w:val="24"/>
        </w:rPr>
        <w:t>5-e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502AA3">
        <w:rPr>
          <w:rFonts w:cs="Arial"/>
          <w:color w:val="000000"/>
          <w:sz w:val="24"/>
          <w:szCs w:val="24"/>
        </w:rPr>
        <w:t>6174</w:t>
      </w:r>
    </w:p>
    <w:p w14:paraId="2700B07E" w14:textId="511197D8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502AA3">
        <w:rPr>
          <w:rFonts w:eastAsia="SimSun"/>
          <w:sz w:val="24"/>
          <w:szCs w:val="24"/>
          <w:lang w:eastAsia="zh-CN"/>
        </w:rPr>
        <w:t>May 25 – June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B190DBD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E51C9">
        <w:rPr>
          <w:rFonts w:ascii="Arial" w:hAnsi="Arial"/>
          <w:sz w:val="24"/>
          <w:lang w:val="en-US"/>
        </w:rPr>
        <w:t>4.9.7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E9742A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4D3321">
        <w:rPr>
          <w:rFonts w:ascii="Arial" w:hAnsi="Arial"/>
          <w:sz w:val="24"/>
          <w:lang w:val="en-US"/>
        </w:rPr>
        <w:t xml:space="preserve">Corrections to R15 MAC-CE based active TCI state switching requirements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A60A9CE" w14:textId="69A03920" w:rsidR="001A072D" w:rsidRPr="00832903" w:rsidRDefault="00C74DEB" w:rsidP="00832903">
      <w:pPr>
        <w:rPr>
          <w:lang w:val="en-US"/>
        </w:rPr>
      </w:pPr>
      <w:r>
        <w:rPr>
          <w:lang w:val="en-US"/>
        </w:rPr>
        <w:t xml:space="preserve">In RAN4#94-e meeting, </w:t>
      </w:r>
      <w:r w:rsidR="009F450A">
        <w:rPr>
          <w:lang w:val="en-US"/>
        </w:rPr>
        <w:t xml:space="preserve">we proposed correcting the R15 MAC-CE based active TCI state switching requirements in order to align it with the specifications in TS 38.214 [1]. The email discussion on this topic </w:t>
      </w:r>
      <w:r w:rsidR="00E955F9">
        <w:rPr>
          <w:lang w:val="en-US"/>
        </w:rPr>
        <w:t xml:space="preserve">[2] </w:t>
      </w:r>
      <w:r w:rsidR="009F450A">
        <w:rPr>
          <w:lang w:val="en-US"/>
        </w:rPr>
        <w:t xml:space="preserve">summarized the issue and opinions from </w:t>
      </w:r>
      <w:r w:rsidR="00E53AF7">
        <w:rPr>
          <w:lang w:val="en-US"/>
        </w:rPr>
        <w:t xml:space="preserve">interested companies. In this paper, we reiterate our proposal and try to address some of the concerns raised during email discussions. </w:t>
      </w:r>
    </w:p>
    <w:p w14:paraId="530805C1" w14:textId="4783A358" w:rsidR="0005179F" w:rsidRDefault="00C85E54" w:rsidP="00C85E5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71DEAC9" w14:textId="12177D59" w:rsidR="002B69C9" w:rsidRDefault="004C6476" w:rsidP="00C85E54">
      <w:pPr>
        <w:rPr>
          <w:lang w:val="en-US"/>
        </w:rPr>
      </w:pPr>
      <w:r>
        <w:rPr>
          <w:lang w:val="en-US"/>
        </w:rPr>
        <w:t xml:space="preserve">It was discussed in [1] that the requirements for MAC-CE based active TCI state switch </w:t>
      </w:r>
      <w:r w:rsidR="000475D9">
        <w:rPr>
          <w:lang w:val="en-US"/>
        </w:rPr>
        <w:t xml:space="preserve">in TS 38.214 </w:t>
      </w:r>
      <w:r>
        <w:rPr>
          <w:lang w:val="en-US"/>
        </w:rPr>
        <w:t xml:space="preserve">are in conflict with </w:t>
      </w:r>
      <w:r w:rsidR="000475D9">
        <w:rPr>
          <w:lang w:val="en-US"/>
        </w:rPr>
        <w:t>requirements in TS 38.133:</w:t>
      </w:r>
    </w:p>
    <w:p w14:paraId="5C1AB414" w14:textId="6A9379C4" w:rsidR="0093076A" w:rsidRDefault="0093076A" w:rsidP="00C85E54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9E23820" wp14:editId="068FEE08">
                <wp:extent cx="5881420" cy="985652"/>
                <wp:effectExtent l="0" t="0" r="24130" b="2413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9856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B3C36" w14:textId="065558A7" w:rsidR="0093076A" w:rsidRDefault="0093076A" w:rsidP="0093076A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lang w:eastAsia="zh-CN"/>
                              </w:rPr>
                              <w:t>TS 38.214:</w:t>
                            </w:r>
                          </w:p>
                          <w:p w14:paraId="248C7F63" w14:textId="03A19FA5" w:rsidR="0093076A" w:rsidRPr="009C5EB9" w:rsidRDefault="00696AD6" w:rsidP="0093076A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3450AF">
                              <w:rPr>
                                <w:color w:val="000000" w:themeColor="text1"/>
                                <w:lang w:eastAsia="zh-CN"/>
                              </w:rPr>
                              <w:t xml:space="preserve">When the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UE would transmit a PUCCH with</w:t>
                            </w:r>
                            <w:r w:rsidRPr="003450AF">
                              <w:rPr>
                                <w:color w:val="000000" w:themeColor="text1"/>
                                <w:lang w:eastAsia="zh-CN"/>
                              </w:rPr>
                              <w:t xml:space="preserve"> HARQ-ACK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information in slot </w:t>
                            </w:r>
                            <w:r w:rsidRPr="003022D7">
                              <w:rPr>
                                <w:rFonts w:hint="eastAsia"/>
                                <w:i/>
                                <w:lang w:eastAsia="zh-CN"/>
                              </w:rPr>
                              <w:t>n</w:t>
                            </w:r>
                            <w:r w:rsidRPr="003450AF">
                              <w:rPr>
                                <w:color w:val="000000" w:themeColor="text1"/>
                                <w:lang w:eastAsia="zh-CN"/>
                              </w:rPr>
                              <w:t xml:space="preserve"> corresponding to the PDSCH carrying the activation command, the indicated mapping between TCI states and codepoints of the DCI field </w:t>
                            </w:r>
                            <w:r w:rsidRPr="003450AF">
                              <w:rPr>
                                <w:i/>
                                <w:iCs/>
                                <w:color w:val="000000" w:themeColor="text1"/>
                                <w:lang w:eastAsia="zh-CN"/>
                              </w:rPr>
                              <w:t>'Transmission Configuration Indication'</w:t>
                            </w:r>
                            <w:r w:rsidRPr="003450AF">
                              <w:rPr>
                                <w:color w:val="000000" w:themeColor="text1"/>
                                <w:lang w:eastAsia="zh-CN"/>
                              </w:rPr>
                              <w:t xml:space="preserve"> should be applied starting from</w:t>
                            </w:r>
                            <w:r w:rsidRPr="0056430A">
                              <w:rPr>
                                <w:color w:val="000000" w:themeColor="text1"/>
                                <w:lang w:eastAsia="zh-CN"/>
                              </w:rPr>
                              <w:t xml:space="preserve"> </w:t>
                            </w:r>
                            <w:r w:rsidRPr="00112073">
                              <w:rPr>
                                <w:color w:val="000000" w:themeColor="text1"/>
                                <w:lang w:eastAsia="zh-CN"/>
                              </w:rPr>
                              <w:t>the first slot that is after</w:t>
                            </w:r>
                            <w:r w:rsidRPr="003450AF">
                              <w:rPr>
                                <w:color w:val="000000" w:themeColor="text1"/>
                                <w:lang w:eastAsia="zh-CN"/>
                              </w:rPr>
                              <w:t xml:space="preserve"> slot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subframe,µ</m:t>
                                  </m:r>
                                </m:sup>
                              </m:sSubSup>
                            </m:oMath>
                            <w:r>
                              <w:t xml:space="preserve"> </w:t>
                            </w:r>
                            <w:r w:rsidRPr="00495E30">
                              <w:t xml:space="preserve">where </w:t>
                            </w:r>
                            <w:r w:rsidRPr="00495E30">
                              <w:rPr>
                                <w:rFonts w:ascii="Symbol" w:hAnsi="Symbol"/>
                                <w:i/>
                              </w:rPr>
                              <w:t></w:t>
                            </w:r>
                            <w:r w:rsidRPr="00495E30">
                              <w:t xml:space="preserve"> is the SCS configuration for the PUCCH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9E238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3.1pt;height:7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dWIQIAAEQEAAAOAAAAZHJzL2Uyb0RvYy54bWysU1Fv0zAQfkfiP1h+p2mjdnRR02l0FCGN&#10;gbTxAy6O01g4PmO7Tcqv5+x0pRrwgvCD5fOdP3/33d3qZug0O0jnFZqSzyZTzqQRWCuzK/nXp+2b&#10;JWc+gKlBo5ElP0rPb9avX616W8gcW9S1dIxAjC96W/I2BFtkmRet7MBP0EpDzgZdB4FMt8tqBz2h&#10;dzrLp9OrrEdXW4dCek+3d6OTrxN+00gRPjeNl4HpkhO3kHaX9iru2XoFxc6BbZU40YB/YNGBMvTp&#10;GeoOArC9U79BdUo49NiEicAuw6ZRQqYcKJvZ9EU2jy1YmXIhcbw9y+T/H6x4OHxxTNUlzzkz0FGJ&#10;nuQQ2DscWB7V6a0vKOjRUlgY6JqqnDL19h7FN88MblowO3nrHPathJrYzeLL7OLpiOMjSNV/wpq+&#10;gX3ABDQ0rovSkRiM0KlKx3NlIhVBl4vlcjbPySXId71cXC0SuQyK59fW+fBBYsfioeSOKp/Q4XDv&#10;Q2QDxXNI/MyjVvVWaZ0Mt6s22rEDUJds00oJvAjThvX0+yJfjAL8FWKa1p8gOhWo3bXqSr48B0ER&#10;ZXtv6tSMAZQez0RZm5OOUbpRxDBUw6kuFdZHUtTh2NY0hnRo0f3grKeWLrn/vgcnOdMfDVXlejaf&#10;xxlIxnzxNurpLj3VpQeMIKiSB87G4yakuYmCGbyl6jUqCRvLPDI5caVWTXqfxirOwqWdon4N//on&#10;AAAA//8DAFBLAwQUAAYACAAAACEA4aJZZ9wAAAAFAQAADwAAAGRycy9kb3ducmV2LnhtbEyPwU7D&#10;MBBE70j8g7VIXBB1CDS0IU6FkED0BgXB1Y23SYS9Drabhr9n4QKXkVYzmnlbrSZnxYgh9p4UXMwy&#10;EEiNNz21Cl5f7s8XIGLSZLT1hAq+MMKqPj6qdGn8gZ5x3KRWcAnFUivoUhpKKWPTodNx5gck9nY+&#10;OJ34DK00QR+43FmZZ1khne6JFzo94F2Hzcdm7xQsrh7H97i+fHprip1dprPr8eEzKHV6Mt3egEg4&#10;pb8w/OAzOtTMtPV7MlFYBfxI+lX2lnmRg9hyaD7PQdaV/E9ffwMAAP//AwBQSwECLQAUAAYACAAA&#10;ACEAtoM4kv4AAADhAQAAEwAAAAAAAAAAAAAAAAAAAAAAW0NvbnRlbnRfVHlwZXNdLnhtbFBLAQIt&#10;ABQABgAIAAAAIQA4/SH/1gAAAJQBAAALAAAAAAAAAAAAAAAAAC8BAABfcmVscy8ucmVsc1BLAQIt&#10;ABQABgAIAAAAIQCtdvdWIQIAAEQEAAAOAAAAAAAAAAAAAAAAAC4CAABkcnMvZTJvRG9jLnhtbFBL&#10;AQItABQABgAIAAAAIQDholln3AAAAAUBAAAPAAAAAAAAAAAAAAAAAHsEAABkcnMvZG93bnJldi54&#10;bWxQSwUGAAAAAAQABADzAAAAhAUAAAAA&#10;">
                <v:textbox>
                  <w:txbxContent>
                    <w:p w14:paraId="077B3C36" w14:textId="065558A7" w:rsidR="0093076A" w:rsidRDefault="0093076A" w:rsidP="0093076A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>
                        <w:rPr>
                          <w:rFonts w:eastAsia="Batang"/>
                          <w:b/>
                          <w:lang w:eastAsia="zh-CN"/>
                        </w:rPr>
                        <w:t>TS 38.214:</w:t>
                      </w:r>
                    </w:p>
                    <w:p w14:paraId="248C7F63" w14:textId="03A19FA5" w:rsidR="0093076A" w:rsidRPr="009C5EB9" w:rsidRDefault="00696AD6" w:rsidP="0093076A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 w:rsidRPr="003450AF">
                        <w:rPr>
                          <w:color w:val="000000" w:themeColor="text1"/>
                          <w:lang w:eastAsia="zh-CN"/>
                        </w:rPr>
                        <w:t xml:space="preserve">When the </w:t>
                      </w:r>
                      <w:r>
                        <w:rPr>
                          <w:rFonts w:hint="eastAsia"/>
                          <w:lang w:eastAsia="zh-CN"/>
                        </w:rPr>
                        <w:t>UE would transmit a PUCCH with</w:t>
                      </w:r>
                      <w:r w:rsidRPr="003450AF">
                        <w:rPr>
                          <w:color w:val="000000" w:themeColor="text1"/>
                          <w:lang w:eastAsia="zh-CN"/>
                        </w:rPr>
                        <w:t xml:space="preserve"> HARQ-ACK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information in slot </w:t>
                      </w:r>
                      <w:r w:rsidRPr="003022D7">
                        <w:rPr>
                          <w:rFonts w:hint="eastAsia"/>
                          <w:i/>
                          <w:lang w:eastAsia="zh-CN"/>
                        </w:rPr>
                        <w:t>n</w:t>
                      </w:r>
                      <w:r w:rsidRPr="003450AF">
                        <w:rPr>
                          <w:color w:val="000000" w:themeColor="text1"/>
                          <w:lang w:eastAsia="zh-CN"/>
                        </w:rPr>
                        <w:t xml:space="preserve"> corresponding to the PDSCH carrying the activation command, the indicated mapping between TCI states and codepoints of the DCI field </w:t>
                      </w:r>
                      <w:r w:rsidRPr="003450AF">
                        <w:rPr>
                          <w:i/>
                          <w:iCs/>
                          <w:color w:val="000000" w:themeColor="text1"/>
                          <w:lang w:eastAsia="zh-CN"/>
                        </w:rPr>
                        <w:t>'Transmission Configuration Indication'</w:t>
                      </w:r>
                      <w:r w:rsidRPr="003450AF">
                        <w:rPr>
                          <w:color w:val="000000" w:themeColor="text1"/>
                          <w:lang w:eastAsia="zh-CN"/>
                        </w:rPr>
                        <w:t xml:space="preserve"> should be applied starting from</w:t>
                      </w:r>
                      <w:r w:rsidRPr="0056430A">
                        <w:rPr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112073">
                        <w:rPr>
                          <w:color w:val="000000" w:themeColor="text1"/>
                          <w:lang w:eastAsia="zh-CN"/>
                        </w:rPr>
                        <w:t>the first slot that is after</w:t>
                      </w:r>
                      <w:r w:rsidRPr="003450AF">
                        <w:rPr>
                          <w:color w:val="000000" w:themeColor="text1"/>
                          <w:lang w:eastAsia="zh-CN"/>
                        </w:rPr>
                        <w:t xml:space="preserve"> slot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3N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subframe,µ</m:t>
                            </m:r>
                          </m:sup>
                        </m:sSubSup>
                      </m:oMath>
                      <w:r>
                        <w:t xml:space="preserve"> </w:t>
                      </w:r>
                      <w:r w:rsidRPr="00495E30">
                        <w:t xml:space="preserve">where </w:t>
                      </w:r>
                      <w:r w:rsidRPr="00495E30">
                        <w:rPr>
                          <w:rFonts w:ascii="Symbol" w:hAnsi="Symbol"/>
                          <w:i/>
                        </w:rPr>
                        <w:t></w:t>
                      </w:r>
                      <w:r w:rsidRPr="00495E30">
                        <w:t xml:space="preserve"> is the SCS configuration for the PUCCH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49069C" w14:textId="4DB3A188" w:rsidR="000475D9" w:rsidRDefault="00453A21" w:rsidP="00C85E54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8B7AC01" wp14:editId="6B3A085D">
                <wp:extent cx="5881420" cy="985652"/>
                <wp:effectExtent l="0" t="0" r="24130" b="2413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9856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3162E" w14:textId="563F4428" w:rsidR="00453A21" w:rsidRDefault="00453A21" w:rsidP="00453A21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lang w:eastAsia="zh-CN"/>
                              </w:rPr>
                              <w:t>TS 38.</w:t>
                            </w:r>
                            <w:r w:rsidR="0093076A">
                              <w:rPr>
                                <w:rFonts w:eastAsia="Batang"/>
                                <w:b/>
                                <w:lang w:eastAsia="zh-CN"/>
                              </w:rPr>
                              <w:t>133</w:t>
                            </w:r>
                            <w:r>
                              <w:rPr>
                                <w:rFonts w:eastAsia="Batang"/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55963734" w14:textId="38BB44E6" w:rsidR="00453A21" w:rsidRDefault="0093076A" w:rsidP="00453A21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If the target TCI state is known, upon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 receiv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ing PDSCH carrying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MAC-CE activation command at slot n</w:t>
                            </w:r>
                            <w:r w:rsidRPr="00DD3199">
                              <w:rPr>
                                <w:lang w:eastAsia="zh-CN"/>
                              </w:rPr>
                              <w:t>, UE shall be able to receive PD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C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CH with target 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TCI state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of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 the serving cell on which 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TCI state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 switch occurs no later than at slot n+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 xml:space="preserve"> T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 xml:space="preserve"> +3 ms +TO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k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*(T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 xml:space="preserve">first-SSB 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+ T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SSB-proc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)</w:t>
                            </w:r>
                            <w:r w:rsidRPr="00DD3199">
                              <w:rPr>
                                <w:lang w:eastAsia="zh-CN"/>
                              </w:rPr>
                              <w:t>. The UE shall be able to receive on the old TCI state until slot n+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 xml:space="preserve"> T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 xml:space="preserve"> +3 ms +TO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k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*(T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first-SSB</w:t>
                            </w:r>
                            <w:r w:rsidRPr="00DD3199">
                              <w:rPr>
                                <w:lang w:eastAsia="zh-CN"/>
                              </w:rPr>
                              <w:t>).</w:t>
                            </w:r>
                          </w:p>
                          <w:p w14:paraId="64D6A445" w14:textId="77777777" w:rsidR="00453A21" w:rsidRPr="009C5EB9" w:rsidRDefault="00453A21" w:rsidP="00453A21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B7AC01" id="Text Box 1" o:spid="_x0000_s1027" type="#_x0000_t202" style="width:463.1pt;height:7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L8kJAIAAEsEAAAOAAAAZHJzL2Uyb0RvYy54bWysVNFu2yAUfZ+0f0C8L06iuEutOFWXLtOk&#10;rpvU9gMwxjEacBmQ2NnX74LdzNr6NM0PCLiXw7nnXLy56bUiJ+G8BFPSxWxOiTAcamkOJX1+2r9b&#10;U+IDMzVTYERJz8LTm+3bN5vOFmIJLahaOIIgxhedLWkbgi2yzPNWaOZnYIXBYANOs4BLd8hqxzpE&#10;1ypbzudXWQeutg648B5374Yg3Sb8phE8fG0aLwJRJUVuIY0ujVUcs+2GFQfHbCv5SIP9AwvNpMFL&#10;L1B3LDBydPIvKC25Aw9NmHHQGTSN5CLVgNUs5n9U89gyK1ItKI63F5n8/4PlD6dvjsgavaPEMI0W&#10;PYk+kA/Qk0VUp7O+wKRHi2mhx+2YGSv19h74d08M7FpmDuLWOehawWpkl05mk6MDjo8gVfcFaryG&#10;HQMkoL5xOgKiGATR0aXzxZlIheNmvl4vVksMcYxdr/OrfBnJZax4OW2dD58EaBInJXXofEJnp3sf&#10;htSXlMQelKz3Uqm0cIdqpxw5MeySffpGdD9NU4Z0eHu+zAcBpjE/hZin7zUILQO2u5K6pOtLEiui&#10;bB9NnZoxMKmGOVanDBYZdYzSDSKGvupHw0Z7KqjPKKyDobvxNeKkBfeTkg47u6T+x5E5QYn6bNCc&#10;68VqFZ9CWqzy91FWN41U0wgzHKFKGigZpruQnk/UzcAtmtjIpG9kOTAZKWPHJofG1xWfxHSdsn7/&#10;A7a/AAAA//8DAFBLAwQUAAYACAAAACEA4aJZZ9wAAAAFAQAADwAAAGRycy9kb3ducmV2LnhtbEyP&#10;wU7DMBBE70j8g7VIXBB1CDS0IU6FkED0BgXB1Y23SYS9Drabhr9n4QKXkVYzmnlbrSZnxYgh9p4U&#10;XMwyEEiNNz21Cl5f7s8XIGLSZLT1hAq+MMKqPj6qdGn8gZ5x3KRWcAnFUivoUhpKKWPTodNx5gck&#10;9nY+OJ34DK00QR+43FmZZ1khne6JFzo94F2Hzcdm7xQsrh7H97i+fHprip1dprPr8eEzKHV6Mt3e&#10;gEg4pb8w/OAzOtTMtPV7MlFYBfxI+lX2lnmRg9hyaD7PQdaV/E9ffwMAAP//AwBQSwECLQAUAAYA&#10;CAAAACEAtoM4kv4AAADhAQAAEwAAAAAAAAAAAAAAAAAAAAAAW0NvbnRlbnRfVHlwZXNdLnhtbFBL&#10;AQItABQABgAIAAAAIQA4/SH/1gAAAJQBAAALAAAAAAAAAAAAAAAAAC8BAABfcmVscy8ucmVsc1BL&#10;AQItABQABgAIAAAAIQBk5L8kJAIAAEsEAAAOAAAAAAAAAAAAAAAAAC4CAABkcnMvZTJvRG9jLnht&#10;bFBLAQItABQABgAIAAAAIQDholln3AAAAAUBAAAPAAAAAAAAAAAAAAAAAH4EAABkcnMvZG93bnJl&#10;di54bWxQSwUGAAAAAAQABADzAAAAhwUAAAAA&#10;">
                <v:textbox>
                  <w:txbxContent>
                    <w:p w14:paraId="2AE3162E" w14:textId="563F4428" w:rsidR="00453A21" w:rsidRDefault="00453A21" w:rsidP="00453A21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>
                        <w:rPr>
                          <w:rFonts w:eastAsia="Batang"/>
                          <w:b/>
                          <w:lang w:eastAsia="zh-CN"/>
                        </w:rPr>
                        <w:t>TS 38.</w:t>
                      </w:r>
                      <w:r w:rsidR="0093076A">
                        <w:rPr>
                          <w:rFonts w:eastAsia="Batang"/>
                          <w:b/>
                          <w:lang w:eastAsia="zh-CN"/>
                        </w:rPr>
                        <w:t>133</w:t>
                      </w:r>
                      <w:r>
                        <w:rPr>
                          <w:rFonts w:eastAsia="Batang"/>
                          <w:b/>
                          <w:lang w:eastAsia="zh-CN"/>
                        </w:rPr>
                        <w:t>:</w:t>
                      </w:r>
                    </w:p>
                    <w:p w14:paraId="55963734" w14:textId="38BB44E6" w:rsidR="00453A21" w:rsidRDefault="0093076A" w:rsidP="00453A21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 w:rsidRPr="00DD3199">
                        <w:rPr>
                          <w:rFonts w:eastAsia="Malgun Gothic"/>
                          <w:lang w:eastAsia="zh-CN"/>
                        </w:rPr>
                        <w:t>If the target TCI state is known, upon</w:t>
                      </w:r>
                      <w:r w:rsidRPr="00DD3199">
                        <w:rPr>
                          <w:lang w:eastAsia="zh-CN"/>
                        </w:rPr>
                        <w:t xml:space="preserve"> receiv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ing PDSCH carrying</w:t>
                      </w:r>
                      <w:r w:rsidRPr="00DD3199">
                        <w:rPr>
                          <w:lang w:eastAsia="zh-CN"/>
                        </w:rPr>
                        <w:t xml:space="preserve"> 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MAC-CE activation command at slot n</w:t>
                      </w:r>
                      <w:r w:rsidRPr="00DD3199">
                        <w:rPr>
                          <w:lang w:eastAsia="zh-CN"/>
                        </w:rPr>
                        <w:t>, UE shall be able to receive PD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C</w:t>
                      </w:r>
                      <w:r w:rsidRPr="00DD3199">
                        <w:rPr>
                          <w:lang w:eastAsia="zh-CN"/>
                        </w:rPr>
                        <w:t xml:space="preserve">CH with target 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TCI state</w:t>
                      </w:r>
                      <w:r w:rsidRPr="00DD3199">
                        <w:rPr>
                          <w:lang w:eastAsia="zh-CN"/>
                        </w:rPr>
                        <w:t xml:space="preserve"> 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of</w:t>
                      </w:r>
                      <w:r w:rsidRPr="00DD3199">
                        <w:rPr>
                          <w:lang w:eastAsia="zh-CN"/>
                        </w:rPr>
                        <w:t xml:space="preserve"> the serving cell on which 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TCI state</w:t>
                      </w:r>
                      <w:r w:rsidRPr="00DD3199">
                        <w:rPr>
                          <w:lang w:eastAsia="zh-CN"/>
                        </w:rPr>
                        <w:t xml:space="preserve"> switch occurs no later than at slot n+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 xml:space="preserve"> T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HARQ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 xml:space="preserve"> +3 ms +TO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k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*(T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 xml:space="preserve">first-SSB 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+ T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SSB-proc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)</w:t>
                      </w:r>
                      <w:r w:rsidRPr="00DD3199">
                        <w:rPr>
                          <w:lang w:eastAsia="zh-CN"/>
                        </w:rPr>
                        <w:t>. The UE shall be able to receive on the old TCI state until slot n+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 xml:space="preserve"> T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HARQ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 xml:space="preserve"> +3 ms +TO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k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*(T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first-SSB</w:t>
                      </w:r>
                      <w:r w:rsidRPr="00DD3199">
                        <w:rPr>
                          <w:lang w:eastAsia="zh-CN"/>
                        </w:rPr>
                        <w:t>).</w:t>
                      </w:r>
                    </w:p>
                    <w:p w14:paraId="64D6A445" w14:textId="77777777" w:rsidR="00453A21" w:rsidRPr="009C5EB9" w:rsidRDefault="00453A21" w:rsidP="00453A21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F48CB93" w14:textId="08A9FD2D" w:rsidR="002642B1" w:rsidRDefault="002642B1" w:rsidP="00C85E54">
      <w:pPr>
        <w:rPr>
          <w:rFonts w:eastAsia="Malgun Gothic"/>
          <w:lang w:eastAsia="zh-CN"/>
        </w:rPr>
      </w:pPr>
      <w:r>
        <w:rPr>
          <w:lang w:val="en-US"/>
        </w:rPr>
        <w:t xml:space="preserve">In other words, RAN4 requirements have an extra term, </w:t>
      </w:r>
      <w:r w:rsidRPr="00DD3199">
        <w:rPr>
          <w:rFonts w:eastAsia="Malgun Gothic"/>
          <w:lang w:eastAsia="zh-CN"/>
        </w:rPr>
        <w:t>TO</w:t>
      </w:r>
      <w:r w:rsidRPr="00DD3199">
        <w:rPr>
          <w:rFonts w:eastAsia="Malgun Gothic"/>
          <w:vertAlign w:val="subscript"/>
          <w:lang w:eastAsia="zh-CN"/>
        </w:rPr>
        <w:t>k</w:t>
      </w:r>
      <w:r w:rsidRPr="00DD3199">
        <w:rPr>
          <w:rFonts w:eastAsia="Malgun Gothic"/>
          <w:lang w:eastAsia="zh-CN"/>
        </w:rPr>
        <w:t>*(T</w:t>
      </w:r>
      <w:r w:rsidRPr="00DD3199">
        <w:rPr>
          <w:rFonts w:eastAsia="Malgun Gothic"/>
          <w:vertAlign w:val="subscript"/>
          <w:lang w:eastAsia="zh-CN"/>
        </w:rPr>
        <w:t xml:space="preserve">first-SSB </w:t>
      </w:r>
      <w:r w:rsidRPr="00DD3199">
        <w:rPr>
          <w:rFonts w:eastAsia="Malgun Gothic"/>
          <w:lang w:eastAsia="zh-CN"/>
        </w:rPr>
        <w:t>+ T</w:t>
      </w:r>
      <w:r w:rsidRPr="00DD3199">
        <w:rPr>
          <w:rFonts w:eastAsia="Malgun Gothic"/>
          <w:vertAlign w:val="subscript"/>
          <w:lang w:eastAsia="zh-CN"/>
        </w:rPr>
        <w:t>SSB-proc</w:t>
      </w:r>
      <w:r w:rsidRPr="00DD3199">
        <w:rPr>
          <w:rFonts w:eastAsia="Malgun Gothic"/>
          <w:lang w:eastAsia="zh-CN"/>
        </w:rPr>
        <w:t>)</w:t>
      </w:r>
      <w:r w:rsidR="006E359F">
        <w:rPr>
          <w:rFonts w:eastAsia="Malgun Gothic"/>
          <w:lang w:eastAsia="zh-CN"/>
        </w:rPr>
        <w:t xml:space="preserve">, which accounts for the time needed to receive and process one SSB to guarantee performance in the new TCI state. </w:t>
      </w:r>
    </w:p>
    <w:p w14:paraId="7C6266CF" w14:textId="15A7DDA9" w:rsidR="003B7B7F" w:rsidRDefault="003B7B7F" w:rsidP="00C85E54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There were two concerns raised against aligning the </w:t>
      </w:r>
      <w:r w:rsidR="007C6EDA">
        <w:rPr>
          <w:rFonts w:eastAsia="Malgun Gothic"/>
          <w:lang w:eastAsia="zh-CN"/>
        </w:rPr>
        <w:t>two specifications [1]:</w:t>
      </w:r>
    </w:p>
    <w:p w14:paraId="0F737A14" w14:textId="6D92297B" w:rsidR="007C6EDA" w:rsidRPr="00356210" w:rsidRDefault="000A2889" w:rsidP="00356210">
      <w:pPr>
        <w:pStyle w:val="ListParagraph"/>
        <w:numPr>
          <w:ilvl w:val="0"/>
          <w:numId w:val="41"/>
        </w:numPr>
        <w:rPr>
          <w:rFonts w:eastAsia="Malgun Gothic"/>
          <w:sz w:val="20"/>
          <w:szCs w:val="20"/>
          <w:lang w:eastAsia="zh-CN"/>
        </w:rPr>
      </w:pPr>
      <w:r w:rsidRPr="00356210">
        <w:rPr>
          <w:rFonts w:eastAsia="Malgun Gothic"/>
          <w:sz w:val="20"/>
          <w:szCs w:val="20"/>
          <w:lang w:eastAsia="zh-CN"/>
        </w:rPr>
        <w:t xml:space="preserve">The requirements in TS 38.133 are aligned with real-world implementation and UE </w:t>
      </w:r>
      <w:r w:rsidR="005C1DF3" w:rsidRPr="00356210">
        <w:rPr>
          <w:rFonts w:eastAsia="Malgun Gothic"/>
          <w:sz w:val="20"/>
          <w:szCs w:val="20"/>
          <w:lang w:eastAsia="zh-CN"/>
        </w:rPr>
        <w:t xml:space="preserve">may require one SSB to guarantee performance. Removing the additional term </w:t>
      </w:r>
      <w:r w:rsidR="00E41FBB" w:rsidRPr="00356210">
        <w:rPr>
          <w:rFonts w:eastAsia="Malgun Gothic"/>
          <w:sz w:val="20"/>
          <w:szCs w:val="20"/>
          <w:lang w:eastAsia="zh-CN"/>
        </w:rPr>
        <w:t>does not address this need.</w:t>
      </w:r>
    </w:p>
    <w:p w14:paraId="1B4E38B1" w14:textId="1D0C761E" w:rsidR="00E41FBB" w:rsidRPr="00356210" w:rsidRDefault="00FC061C" w:rsidP="00356210">
      <w:pPr>
        <w:pStyle w:val="ListParagraph"/>
        <w:numPr>
          <w:ilvl w:val="0"/>
          <w:numId w:val="41"/>
        </w:numPr>
        <w:rPr>
          <w:rFonts w:eastAsia="Malgun Gothic"/>
          <w:sz w:val="20"/>
          <w:szCs w:val="20"/>
          <w:lang w:eastAsia="zh-CN"/>
        </w:rPr>
      </w:pPr>
      <w:r w:rsidRPr="00356210">
        <w:rPr>
          <w:rFonts w:eastAsia="Malgun Gothic"/>
          <w:sz w:val="20"/>
          <w:szCs w:val="20"/>
          <w:lang w:eastAsia="zh-CN"/>
        </w:rPr>
        <w:t xml:space="preserve">NW expectation when </w:t>
      </w:r>
      <w:r w:rsidRPr="00356210">
        <w:rPr>
          <w:sz w:val="20"/>
          <w:szCs w:val="20"/>
        </w:rPr>
        <w:t>target TCI state is not in the active TCI state list for PDSCH</w:t>
      </w:r>
      <w:r w:rsidR="00356210" w:rsidRPr="00356210">
        <w:rPr>
          <w:sz w:val="20"/>
          <w:szCs w:val="20"/>
        </w:rPr>
        <w:t xml:space="preserve"> (TO</w:t>
      </w:r>
      <w:r w:rsidR="00356210" w:rsidRPr="00356210">
        <w:rPr>
          <w:sz w:val="20"/>
          <w:szCs w:val="20"/>
          <w:vertAlign w:val="subscript"/>
        </w:rPr>
        <w:t xml:space="preserve">k </w:t>
      </w:r>
      <w:r w:rsidR="00356210" w:rsidRPr="00356210">
        <w:rPr>
          <w:sz w:val="20"/>
          <w:szCs w:val="20"/>
        </w:rPr>
        <w:t>= 1)</w:t>
      </w:r>
    </w:p>
    <w:p w14:paraId="68C4B45D" w14:textId="56758618" w:rsidR="006E359F" w:rsidRDefault="006E359F" w:rsidP="00C85E54">
      <w:pPr>
        <w:rPr>
          <w:lang w:val="en-US"/>
        </w:rPr>
      </w:pPr>
    </w:p>
    <w:p w14:paraId="75A63BC1" w14:textId="5B66B168" w:rsidR="00356210" w:rsidRDefault="00A059E1" w:rsidP="00C85E54">
      <w:pPr>
        <w:rPr>
          <w:rFonts w:eastAsia="Malgun Gothic"/>
          <w:lang w:eastAsia="zh-CN"/>
        </w:rPr>
      </w:pPr>
      <w:r>
        <w:rPr>
          <w:lang w:val="en-US"/>
        </w:rPr>
        <w:t>Our view is that</w:t>
      </w:r>
      <w:r w:rsidR="00FE598D">
        <w:rPr>
          <w:lang w:val="en-US"/>
        </w:rPr>
        <w:t xml:space="preserve"> </w:t>
      </w:r>
      <w:r>
        <w:rPr>
          <w:lang w:val="en-US"/>
        </w:rPr>
        <w:t xml:space="preserve">the reception of one SSB </w:t>
      </w:r>
      <w:r w:rsidR="00FE598D">
        <w:rPr>
          <w:lang w:val="en-US"/>
        </w:rPr>
        <w:t xml:space="preserve">when </w:t>
      </w:r>
      <w:r w:rsidR="00FE598D" w:rsidRPr="00356210">
        <w:t>TO</w:t>
      </w:r>
      <w:r w:rsidR="00FE598D" w:rsidRPr="00356210">
        <w:rPr>
          <w:vertAlign w:val="subscript"/>
        </w:rPr>
        <w:t xml:space="preserve">k </w:t>
      </w:r>
      <w:r w:rsidR="00FE598D" w:rsidRPr="00356210">
        <w:t>= 1</w:t>
      </w:r>
      <w:r w:rsidR="00FE598D">
        <w:t xml:space="preserve"> is required to guarantee the performance in the new TCI state</w:t>
      </w:r>
      <w:r w:rsidR="005864DB">
        <w:t xml:space="preserve"> but is independent of receiving </w:t>
      </w:r>
      <w:r w:rsidR="00EE189E">
        <w:t xml:space="preserve">on the old TCI state. Our proposal in [3] is to simply state that UE shall be able to receive on the old state until slot n + </w:t>
      </w:r>
      <w:r w:rsidR="00EE189E" w:rsidRPr="00DD3199">
        <w:rPr>
          <w:rFonts w:eastAsia="Malgun Gothic"/>
          <w:lang w:eastAsia="zh-CN"/>
        </w:rPr>
        <w:t>T</w:t>
      </w:r>
      <w:r w:rsidR="00EE189E" w:rsidRPr="00DD3199">
        <w:rPr>
          <w:rFonts w:eastAsia="Malgun Gothic"/>
          <w:vertAlign w:val="subscript"/>
          <w:lang w:eastAsia="zh-CN"/>
        </w:rPr>
        <w:t>HARQ</w:t>
      </w:r>
      <w:r w:rsidR="00EE189E" w:rsidRPr="00DD3199">
        <w:rPr>
          <w:rFonts w:eastAsia="Malgun Gothic"/>
          <w:lang w:eastAsia="zh-CN"/>
        </w:rPr>
        <w:t xml:space="preserve"> +3 ms</w:t>
      </w:r>
      <w:r w:rsidR="00EE189E">
        <w:rPr>
          <w:rFonts w:eastAsia="Malgun Gothic"/>
          <w:lang w:eastAsia="zh-CN"/>
        </w:rPr>
        <w:t xml:space="preserve"> (removing the last term) while maintain the RAN4 </w:t>
      </w:r>
      <w:r w:rsidR="000A6E5A">
        <w:rPr>
          <w:rFonts w:eastAsia="Malgun Gothic"/>
          <w:lang w:eastAsia="zh-CN"/>
        </w:rPr>
        <w:t>requirement that UE shall be able to receive PDCCH with target TCI state</w:t>
      </w:r>
      <w:r w:rsidR="00D138F8">
        <w:rPr>
          <w:rFonts w:eastAsia="Malgun Gothic"/>
          <w:lang w:eastAsia="zh-CN"/>
        </w:rPr>
        <w:t xml:space="preserve"> no later than at slot </w:t>
      </w:r>
      <w:r w:rsidR="00D138F8" w:rsidRPr="00DD3199">
        <w:rPr>
          <w:lang w:eastAsia="zh-CN"/>
        </w:rPr>
        <w:t>n+</w:t>
      </w:r>
      <w:r w:rsidR="00D138F8" w:rsidRPr="00DD3199">
        <w:rPr>
          <w:rFonts w:eastAsia="Malgun Gothic"/>
          <w:lang w:eastAsia="zh-CN"/>
        </w:rPr>
        <w:t xml:space="preserve"> T</w:t>
      </w:r>
      <w:r w:rsidR="00D138F8" w:rsidRPr="00DD3199">
        <w:rPr>
          <w:rFonts w:eastAsia="Malgun Gothic"/>
          <w:vertAlign w:val="subscript"/>
          <w:lang w:eastAsia="zh-CN"/>
        </w:rPr>
        <w:t>HARQ</w:t>
      </w:r>
      <w:r w:rsidR="00D138F8" w:rsidRPr="00DD3199">
        <w:rPr>
          <w:rFonts w:eastAsia="Malgun Gothic"/>
          <w:lang w:eastAsia="zh-CN"/>
        </w:rPr>
        <w:t xml:space="preserve"> +3 ms +TO</w:t>
      </w:r>
      <w:r w:rsidR="00D138F8" w:rsidRPr="00DD3199">
        <w:rPr>
          <w:rFonts w:eastAsia="Malgun Gothic"/>
          <w:vertAlign w:val="subscript"/>
          <w:lang w:eastAsia="zh-CN"/>
        </w:rPr>
        <w:t>k</w:t>
      </w:r>
      <w:r w:rsidR="00D138F8" w:rsidRPr="00DD3199">
        <w:rPr>
          <w:rFonts w:eastAsia="Malgun Gothic"/>
          <w:lang w:eastAsia="zh-CN"/>
        </w:rPr>
        <w:t>*(T</w:t>
      </w:r>
      <w:r w:rsidR="00D138F8" w:rsidRPr="00DD3199">
        <w:rPr>
          <w:rFonts w:eastAsia="Malgun Gothic"/>
          <w:vertAlign w:val="subscript"/>
          <w:lang w:eastAsia="zh-CN"/>
        </w:rPr>
        <w:t xml:space="preserve">first-SSB </w:t>
      </w:r>
      <w:r w:rsidR="00D138F8" w:rsidRPr="00DD3199">
        <w:rPr>
          <w:rFonts w:eastAsia="Malgun Gothic"/>
          <w:lang w:eastAsia="zh-CN"/>
        </w:rPr>
        <w:t>+ T</w:t>
      </w:r>
      <w:r w:rsidR="00D138F8" w:rsidRPr="00DD3199">
        <w:rPr>
          <w:rFonts w:eastAsia="Malgun Gothic"/>
          <w:vertAlign w:val="subscript"/>
          <w:lang w:eastAsia="zh-CN"/>
        </w:rPr>
        <w:t>SSB-proc</w:t>
      </w:r>
      <w:r w:rsidR="00D138F8" w:rsidRPr="00DD3199">
        <w:rPr>
          <w:rFonts w:eastAsia="Malgun Gothic"/>
          <w:lang w:eastAsia="zh-CN"/>
        </w:rPr>
        <w:t>)</w:t>
      </w:r>
      <w:r w:rsidR="00D138F8">
        <w:rPr>
          <w:rFonts w:eastAsia="Malgun Gothic"/>
          <w:lang w:eastAsia="zh-CN"/>
        </w:rPr>
        <w:t xml:space="preserve">. In our view, this is the best compromise </w:t>
      </w:r>
      <w:r w:rsidR="004B17D5">
        <w:rPr>
          <w:rFonts w:eastAsia="Malgun Gothic"/>
          <w:lang w:eastAsia="zh-CN"/>
        </w:rPr>
        <w:t xml:space="preserve">in order to adhere to RAN1 requirements while maintaining RAN4 agreements. </w:t>
      </w:r>
      <w:r w:rsidR="007D2667">
        <w:rPr>
          <w:rFonts w:eastAsia="Malgun Gothic"/>
          <w:lang w:eastAsia="zh-CN"/>
        </w:rPr>
        <w:t xml:space="preserve">In other words, the switch starts at slot </w:t>
      </w:r>
      <w:r w:rsidR="007D2667">
        <w:t xml:space="preserve">n + </w:t>
      </w:r>
      <w:r w:rsidR="007D2667" w:rsidRPr="00DD3199">
        <w:rPr>
          <w:rFonts w:eastAsia="Malgun Gothic"/>
          <w:lang w:eastAsia="zh-CN"/>
        </w:rPr>
        <w:t>T</w:t>
      </w:r>
      <w:r w:rsidR="007D2667" w:rsidRPr="00DD3199">
        <w:rPr>
          <w:rFonts w:eastAsia="Malgun Gothic"/>
          <w:vertAlign w:val="subscript"/>
          <w:lang w:eastAsia="zh-CN"/>
        </w:rPr>
        <w:t>HARQ</w:t>
      </w:r>
      <w:r w:rsidR="007D2667" w:rsidRPr="00DD3199">
        <w:rPr>
          <w:rFonts w:eastAsia="Malgun Gothic"/>
          <w:lang w:eastAsia="zh-CN"/>
        </w:rPr>
        <w:t xml:space="preserve"> +3 ms</w:t>
      </w:r>
      <w:r w:rsidR="007D2667">
        <w:rPr>
          <w:rFonts w:eastAsia="Malgun Gothic"/>
          <w:lang w:eastAsia="zh-CN"/>
        </w:rPr>
        <w:t xml:space="preserve">. However, the performance of PDCCH/PDSCH is guaranteed </w:t>
      </w:r>
      <w:r w:rsidR="00B56C34">
        <w:rPr>
          <w:rFonts w:eastAsia="Malgun Gothic"/>
          <w:lang w:eastAsia="zh-CN"/>
        </w:rPr>
        <w:t>after reception of one SSB (if needed).</w:t>
      </w:r>
    </w:p>
    <w:p w14:paraId="0DB0C1DE" w14:textId="0BB81416" w:rsidR="00E60E5F" w:rsidRPr="00DA266B" w:rsidRDefault="00E60E5F" w:rsidP="00C85E54">
      <w:pPr>
        <w:rPr>
          <w:rFonts w:eastAsia="Malgun Gothic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lastRenderedPageBreak/>
        <w:t>Observation 1. Guaranteeing PDCCH performance on the new TCI state is independent of receive on the old TCI state.</w:t>
      </w:r>
      <w:r w:rsidR="002C66DD" w:rsidRPr="00DA266B">
        <w:rPr>
          <w:rFonts w:eastAsia="Malgun Gothic"/>
          <w:b/>
          <w:bCs/>
          <w:lang w:eastAsia="zh-CN"/>
        </w:rPr>
        <w:t xml:space="preserve"> </w:t>
      </w:r>
    </w:p>
    <w:p w14:paraId="05A04AD7" w14:textId="268F00D2" w:rsidR="00B56C34" w:rsidRDefault="00051E7D" w:rsidP="00C85E54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NW has complete control on when MAC-CE based TCI state switch is sent to UE so it can align it to be precisely 3ms before an SSB</w:t>
      </w:r>
      <w:r w:rsidR="00B602CF">
        <w:rPr>
          <w:rFonts w:eastAsia="Malgun Gothic"/>
          <w:lang w:eastAsia="zh-CN"/>
        </w:rPr>
        <w:t xml:space="preserve"> when </w:t>
      </w:r>
      <w:r w:rsidR="00B602CF" w:rsidRPr="00356210">
        <w:t>TO</w:t>
      </w:r>
      <w:r w:rsidR="00B602CF" w:rsidRPr="00356210">
        <w:rPr>
          <w:vertAlign w:val="subscript"/>
        </w:rPr>
        <w:t xml:space="preserve">k </w:t>
      </w:r>
      <w:r w:rsidR="00B602CF" w:rsidRPr="00356210">
        <w:t>= 1</w:t>
      </w:r>
      <w:r w:rsidR="008A259B">
        <w:rPr>
          <w:rFonts w:eastAsia="Malgun Gothic"/>
          <w:lang w:eastAsia="zh-CN"/>
        </w:rPr>
        <w:t xml:space="preserve">. In </w:t>
      </w:r>
      <w:r w:rsidR="00311CAC">
        <w:rPr>
          <w:rFonts w:eastAsia="Malgun Gothic"/>
          <w:lang w:eastAsia="zh-CN"/>
        </w:rPr>
        <w:t xml:space="preserve">such </w:t>
      </w:r>
      <w:r w:rsidR="008A259B">
        <w:rPr>
          <w:rFonts w:eastAsia="Malgun Gothic"/>
          <w:lang w:eastAsia="zh-CN"/>
        </w:rPr>
        <w:t>case</w:t>
      </w:r>
      <w:r w:rsidR="008A259B">
        <w:t xml:space="preserve">, there will </w:t>
      </w:r>
      <w:r w:rsidR="00D84A07">
        <w:t xml:space="preserve">only </w:t>
      </w:r>
      <w:r w:rsidR="008A259B">
        <w:t>be ~2ms (</w:t>
      </w:r>
      <w:r w:rsidR="008A259B" w:rsidRPr="00DD3199">
        <w:rPr>
          <w:rFonts w:eastAsia="Malgun Gothic"/>
          <w:lang w:eastAsia="zh-CN"/>
        </w:rPr>
        <w:t>T</w:t>
      </w:r>
      <w:r w:rsidR="008A259B" w:rsidRPr="00DD3199">
        <w:rPr>
          <w:rFonts w:eastAsia="Malgun Gothic"/>
          <w:vertAlign w:val="subscript"/>
          <w:lang w:eastAsia="zh-CN"/>
        </w:rPr>
        <w:t>SSB-proc</w:t>
      </w:r>
      <w:r w:rsidR="008A259B">
        <w:rPr>
          <w:rFonts w:eastAsia="Malgun Gothic"/>
          <w:lang w:eastAsia="zh-CN"/>
        </w:rPr>
        <w:t xml:space="preserve">) when </w:t>
      </w:r>
      <w:r w:rsidR="00311CAC">
        <w:rPr>
          <w:rFonts w:eastAsia="Malgun Gothic"/>
          <w:lang w:eastAsia="zh-CN"/>
        </w:rPr>
        <w:t xml:space="preserve">PDCCH </w:t>
      </w:r>
      <w:r w:rsidR="00256F07">
        <w:rPr>
          <w:rFonts w:eastAsia="Malgun Gothic"/>
          <w:lang w:eastAsia="zh-CN"/>
        </w:rPr>
        <w:t>performance cannot be guaranteed which is negligible impact in our view.</w:t>
      </w:r>
    </w:p>
    <w:p w14:paraId="15369153" w14:textId="4F465230" w:rsidR="00256F07" w:rsidRDefault="00256F07" w:rsidP="00C85E54">
      <w:pPr>
        <w:rPr>
          <w:rFonts w:eastAsia="Malgun Gothic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t xml:space="preserve">Observation </w:t>
      </w:r>
      <w:r w:rsidR="000563C3">
        <w:rPr>
          <w:rFonts w:eastAsia="Malgun Gothic"/>
          <w:b/>
          <w:bCs/>
          <w:lang w:eastAsia="zh-CN"/>
        </w:rPr>
        <w:t>2</w:t>
      </w:r>
      <w:r w:rsidRPr="00DA266B">
        <w:rPr>
          <w:rFonts w:eastAsia="Malgun Gothic"/>
          <w:b/>
          <w:bCs/>
          <w:lang w:eastAsia="zh-CN"/>
        </w:rPr>
        <w:t xml:space="preserve">. </w:t>
      </w:r>
      <w:r w:rsidR="002C66DD" w:rsidRPr="00DA266B">
        <w:rPr>
          <w:rFonts w:eastAsia="Malgun Gothic"/>
          <w:b/>
          <w:bCs/>
          <w:lang w:eastAsia="zh-CN"/>
        </w:rPr>
        <w:t xml:space="preserve">In case </w:t>
      </w:r>
      <w:r w:rsidR="002C66DD" w:rsidRPr="00DA266B">
        <w:rPr>
          <w:b/>
          <w:bCs/>
        </w:rPr>
        <w:t>target TCI state is not in the active TCI state list for PDSCH</w:t>
      </w:r>
      <w:r w:rsidR="00D84A07">
        <w:rPr>
          <w:b/>
          <w:bCs/>
        </w:rPr>
        <w:t xml:space="preserve"> </w:t>
      </w:r>
      <w:r w:rsidR="00D84A07" w:rsidRPr="00D84A07">
        <w:rPr>
          <w:b/>
          <w:bCs/>
        </w:rPr>
        <w:t>(TO</w:t>
      </w:r>
      <w:r w:rsidR="00D84A07" w:rsidRPr="00D84A07">
        <w:rPr>
          <w:b/>
          <w:bCs/>
          <w:vertAlign w:val="subscript"/>
        </w:rPr>
        <w:t xml:space="preserve">k </w:t>
      </w:r>
      <w:r w:rsidR="00D84A07" w:rsidRPr="00D84A07">
        <w:rPr>
          <w:b/>
          <w:bCs/>
        </w:rPr>
        <w:t>= 1)</w:t>
      </w:r>
      <w:r w:rsidR="002C66DD" w:rsidRPr="00D84A07">
        <w:rPr>
          <w:b/>
          <w:bCs/>
        </w:rPr>
        <w:t>,</w:t>
      </w:r>
      <w:r w:rsidR="002C66DD" w:rsidRPr="00DA266B">
        <w:rPr>
          <w:b/>
          <w:bCs/>
        </w:rPr>
        <w:t xml:space="preserve"> </w:t>
      </w:r>
      <w:r w:rsidR="003C6C02" w:rsidRPr="00DA266B">
        <w:rPr>
          <w:b/>
          <w:bCs/>
        </w:rPr>
        <w:t xml:space="preserve">there will </w:t>
      </w:r>
      <w:r w:rsidR="00D84A07">
        <w:rPr>
          <w:b/>
          <w:bCs/>
        </w:rPr>
        <w:t xml:space="preserve">only </w:t>
      </w:r>
      <w:r w:rsidR="003C6C02" w:rsidRPr="00DA266B">
        <w:rPr>
          <w:b/>
          <w:bCs/>
        </w:rPr>
        <w:t>be at most ~2ms (</w:t>
      </w:r>
      <w:r w:rsidR="003C6C02" w:rsidRPr="00DA266B">
        <w:rPr>
          <w:rFonts w:eastAsia="Malgun Gothic"/>
          <w:b/>
          <w:bCs/>
          <w:lang w:eastAsia="zh-CN"/>
        </w:rPr>
        <w:t>T</w:t>
      </w:r>
      <w:r w:rsidR="003C6C02" w:rsidRPr="00DA266B">
        <w:rPr>
          <w:rFonts w:eastAsia="Malgun Gothic"/>
          <w:b/>
          <w:bCs/>
          <w:vertAlign w:val="subscript"/>
          <w:lang w:eastAsia="zh-CN"/>
        </w:rPr>
        <w:t>SSB-proc</w:t>
      </w:r>
      <w:r w:rsidR="003C6C02" w:rsidRPr="00DA266B">
        <w:rPr>
          <w:rFonts w:eastAsia="Malgun Gothic"/>
          <w:b/>
          <w:bCs/>
          <w:lang w:eastAsia="zh-CN"/>
        </w:rPr>
        <w:t xml:space="preserve">) when PDCCH performance cannot be guaranteed if NW schedules MAC-CE based TCI state switch exactly 3ms before an SSB. </w:t>
      </w:r>
    </w:p>
    <w:p w14:paraId="1D295A0F" w14:textId="6D789305" w:rsidR="002A3257" w:rsidRDefault="002A3257" w:rsidP="00C85E54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It is also noted that there are already </w:t>
      </w:r>
      <w:r w:rsidR="009E5992">
        <w:rPr>
          <w:rFonts w:eastAsia="Malgun Gothic"/>
          <w:lang w:eastAsia="zh-CN"/>
        </w:rPr>
        <w:t>many gNB and UE products that have been deployed with commercial quality in the field across the world that are compliant with RAN1 specification (which w</w:t>
      </w:r>
      <w:r w:rsidR="00563097">
        <w:rPr>
          <w:rFonts w:eastAsia="Malgun Gothic"/>
          <w:lang w:eastAsia="zh-CN"/>
        </w:rPr>
        <w:t>ere</w:t>
      </w:r>
      <w:r w:rsidR="009E5992">
        <w:rPr>
          <w:rFonts w:eastAsia="Malgun Gothic"/>
          <w:lang w:eastAsia="zh-CN"/>
        </w:rPr>
        <w:t xml:space="preserve"> ratified much earlier) rather than RAN4 specification. </w:t>
      </w:r>
      <w:r w:rsidR="0030547C">
        <w:rPr>
          <w:rFonts w:eastAsia="Malgun Gothic"/>
          <w:lang w:eastAsia="zh-CN"/>
        </w:rPr>
        <w:t xml:space="preserve">These products cannot be recalled or modified with over-the-air (OTA) changes. So not doing anything in RAN4 to resolve this misalignment means </w:t>
      </w:r>
      <w:r w:rsidR="000563C3">
        <w:rPr>
          <w:rFonts w:eastAsia="Malgun Gothic"/>
          <w:lang w:eastAsia="zh-CN"/>
        </w:rPr>
        <w:t xml:space="preserve">these products are not compliant with RAN4 specification. </w:t>
      </w:r>
    </w:p>
    <w:p w14:paraId="0DB1B080" w14:textId="68CC691D" w:rsidR="000563C3" w:rsidRPr="00D30B0C" w:rsidRDefault="000563C3" w:rsidP="00C85E54">
      <w:pPr>
        <w:rPr>
          <w:rFonts w:eastAsia="Malgun Gothic"/>
          <w:b/>
          <w:bCs/>
          <w:lang w:eastAsia="zh-CN"/>
        </w:rPr>
      </w:pPr>
      <w:r w:rsidRPr="00D30B0C">
        <w:rPr>
          <w:rFonts w:eastAsia="Malgun Gothic"/>
          <w:b/>
          <w:bCs/>
          <w:lang w:eastAsia="zh-CN"/>
        </w:rPr>
        <w:t xml:space="preserve">Observation 3. Many </w:t>
      </w:r>
      <w:r w:rsidR="00D52B06">
        <w:rPr>
          <w:rFonts w:eastAsia="Malgun Gothic"/>
          <w:b/>
          <w:bCs/>
          <w:lang w:eastAsia="zh-CN"/>
        </w:rPr>
        <w:t xml:space="preserve">R15 </w:t>
      </w:r>
      <w:r w:rsidRPr="00D30B0C">
        <w:rPr>
          <w:rFonts w:eastAsia="Malgun Gothic"/>
          <w:b/>
          <w:bCs/>
          <w:lang w:eastAsia="zh-CN"/>
        </w:rPr>
        <w:t xml:space="preserve">gNB and </w:t>
      </w:r>
      <w:r w:rsidR="00D52B06">
        <w:rPr>
          <w:rFonts w:eastAsia="Malgun Gothic"/>
          <w:b/>
          <w:bCs/>
          <w:lang w:eastAsia="zh-CN"/>
        </w:rPr>
        <w:t xml:space="preserve">R15 </w:t>
      </w:r>
      <w:r w:rsidRPr="00D30B0C">
        <w:rPr>
          <w:rFonts w:eastAsia="Malgun Gothic"/>
          <w:b/>
          <w:bCs/>
          <w:lang w:eastAsia="zh-CN"/>
        </w:rPr>
        <w:t xml:space="preserve">UE products </w:t>
      </w:r>
      <w:r w:rsidR="00E87735" w:rsidRPr="00D30B0C">
        <w:rPr>
          <w:rFonts w:eastAsia="Malgun Gothic"/>
          <w:b/>
          <w:bCs/>
          <w:lang w:eastAsia="zh-CN"/>
        </w:rPr>
        <w:t xml:space="preserve">already deployed with commercial quality are compliant with RAN1 specification rather than RAN4. They cannot be recalled or modified with OTA </w:t>
      </w:r>
      <w:r w:rsidR="00D30B0C" w:rsidRPr="00D30B0C">
        <w:rPr>
          <w:rFonts w:eastAsia="Malgun Gothic"/>
          <w:b/>
          <w:bCs/>
          <w:lang w:eastAsia="zh-CN"/>
        </w:rPr>
        <w:t xml:space="preserve">changes. Hence, they will remain non-compliant with RAN4 </w:t>
      </w:r>
      <w:r w:rsidR="00B92453">
        <w:rPr>
          <w:rFonts w:eastAsia="Malgun Gothic"/>
          <w:b/>
          <w:bCs/>
          <w:lang w:eastAsia="zh-CN"/>
        </w:rPr>
        <w:t xml:space="preserve">if </w:t>
      </w:r>
      <w:r w:rsidR="00A47203">
        <w:rPr>
          <w:rFonts w:eastAsia="Malgun Gothic"/>
          <w:b/>
          <w:bCs/>
          <w:lang w:eastAsia="zh-CN"/>
        </w:rPr>
        <w:t>the</w:t>
      </w:r>
      <w:r w:rsidR="00B92453">
        <w:rPr>
          <w:rFonts w:eastAsia="Malgun Gothic"/>
          <w:b/>
          <w:bCs/>
          <w:lang w:eastAsia="zh-CN"/>
        </w:rPr>
        <w:t xml:space="preserve"> </w:t>
      </w:r>
      <w:r w:rsidR="00D30B0C" w:rsidRPr="00D30B0C">
        <w:rPr>
          <w:rFonts w:eastAsia="Malgun Gothic"/>
          <w:b/>
          <w:bCs/>
          <w:lang w:eastAsia="zh-CN"/>
        </w:rPr>
        <w:t>specification</w:t>
      </w:r>
      <w:r w:rsidR="00B92453">
        <w:rPr>
          <w:rFonts w:eastAsia="Malgun Gothic"/>
          <w:b/>
          <w:bCs/>
          <w:lang w:eastAsia="zh-CN"/>
        </w:rPr>
        <w:t xml:space="preserve"> is not modified</w:t>
      </w:r>
      <w:r w:rsidR="00D30B0C" w:rsidRPr="00D30B0C">
        <w:rPr>
          <w:rFonts w:eastAsia="Malgun Gothic"/>
          <w:b/>
          <w:bCs/>
          <w:lang w:eastAsia="zh-CN"/>
        </w:rPr>
        <w:t xml:space="preserve">. </w:t>
      </w:r>
    </w:p>
    <w:p w14:paraId="05E9243B" w14:textId="5AB01CC5" w:rsidR="003C6C02" w:rsidRPr="00DA266B" w:rsidRDefault="003C6C02" w:rsidP="00C85E54">
      <w:pPr>
        <w:rPr>
          <w:rFonts w:eastAsia="Batang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t xml:space="preserve">Proposal 1. </w:t>
      </w:r>
      <w:r w:rsidR="008A1F07" w:rsidRPr="00DA266B">
        <w:rPr>
          <w:rFonts w:eastAsia="Malgun Gothic"/>
          <w:b/>
          <w:bCs/>
          <w:lang w:eastAsia="zh-CN"/>
        </w:rPr>
        <w:t xml:space="preserve">Modify MAC-CE based TCI state switch delay requirements </w:t>
      </w:r>
      <w:r w:rsidR="00DA266B" w:rsidRPr="00DA266B">
        <w:rPr>
          <w:rFonts w:eastAsia="Malgun Gothic"/>
          <w:b/>
          <w:bCs/>
          <w:lang w:eastAsia="zh-CN"/>
        </w:rPr>
        <w:t>as: “</w:t>
      </w:r>
      <w:r w:rsidR="00DA266B" w:rsidRPr="00DA266B">
        <w:rPr>
          <w:b/>
          <w:bCs/>
          <w:lang w:eastAsia="zh-CN"/>
        </w:rPr>
        <w:t>The UE shall be able to receive on the old TCI state until slot n+</w:t>
      </w:r>
      <w:r w:rsidR="00DA266B" w:rsidRPr="00DA266B">
        <w:rPr>
          <w:rFonts w:eastAsia="Malgun Gothic"/>
          <w:b/>
          <w:bCs/>
          <w:lang w:eastAsia="zh-CN"/>
        </w:rPr>
        <w:t xml:space="preserve"> T</w:t>
      </w:r>
      <w:r w:rsidR="00DA266B" w:rsidRPr="00DA266B">
        <w:rPr>
          <w:rFonts w:eastAsia="Malgun Gothic"/>
          <w:b/>
          <w:bCs/>
          <w:vertAlign w:val="subscript"/>
          <w:lang w:eastAsia="zh-CN"/>
        </w:rPr>
        <w:t>HARQ</w:t>
      </w:r>
      <w:r w:rsidR="00DA266B" w:rsidRPr="00DA266B">
        <w:rPr>
          <w:rFonts w:eastAsia="Malgun Gothic"/>
          <w:b/>
          <w:bCs/>
          <w:lang w:eastAsia="zh-CN"/>
        </w:rPr>
        <w:t xml:space="preserve"> +3 ms </w:t>
      </w:r>
      <w:r w:rsidR="00DA266B" w:rsidRPr="00DA266B">
        <w:rPr>
          <w:rFonts w:eastAsia="Malgun Gothic"/>
          <w:b/>
          <w:bCs/>
          <w:strike/>
          <w:lang w:eastAsia="zh-CN"/>
        </w:rPr>
        <w:t>+TO</w:t>
      </w:r>
      <w:r w:rsidR="00DA266B" w:rsidRPr="00DA266B">
        <w:rPr>
          <w:rFonts w:eastAsia="Malgun Gothic"/>
          <w:b/>
          <w:bCs/>
          <w:strike/>
          <w:vertAlign w:val="subscript"/>
          <w:lang w:eastAsia="zh-CN"/>
        </w:rPr>
        <w:t>k</w:t>
      </w:r>
      <w:r w:rsidR="00DA266B" w:rsidRPr="00DA266B">
        <w:rPr>
          <w:rFonts w:eastAsia="Malgun Gothic"/>
          <w:b/>
          <w:bCs/>
          <w:strike/>
          <w:lang w:eastAsia="zh-CN"/>
        </w:rPr>
        <w:t>*(T</w:t>
      </w:r>
      <w:r w:rsidR="00DA266B" w:rsidRPr="00DA266B">
        <w:rPr>
          <w:rFonts w:eastAsia="Malgun Gothic"/>
          <w:b/>
          <w:bCs/>
          <w:strike/>
          <w:vertAlign w:val="subscript"/>
          <w:lang w:eastAsia="zh-CN"/>
        </w:rPr>
        <w:t>first-SSB</w:t>
      </w:r>
      <w:r w:rsidR="00DA266B" w:rsidRPr="00DA266B">
        <w:rPr>
          <w:b/>
          <w:bCs/>
          <w:strike/>
          <w:lang w:eastAsia="zh-CN"/>
        </w:rPr>
        <w:t>)</w:t>
      </w:r>
      <w:r w:rsidR="00DA266B" w:rsidRPr="00DA266B">
        <w:rPr>
          <w:b/>
          <w:bCs/>
          <w:lang w:eastAsia="zh-CN"/>
        </w:rPr>
        <w:t>.</w:t>
      </w:r>
      <w:r w:rsidR="00DA266B" w:rsidRPr="00DA266B">
        <w:rPr>
          <w:rFonts w:eastAsia="Batang"/>
          <w:b/>
          <w:bCs/>
          <w:lang w:eastAsia="zh-CN"/>
        </w:rPr>
        <w:t>”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0224B9B" w14:textId="77777777" w:rsidR="00DA266B" w:rsidRPr="00DA266B" w:rsidRDefault="00DA266B" w:rsidP="00DA266B">
      <w:pPr>
        <w:rPr>
          <w:rFonts w:eastAsia="Malgun Gothic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t xml:space="preserve">Observation 1. Guaranteeing PDCCH performance on the new TCI state is independent of receive on the old TCI state. </w:t>
      </w:r>
    </w:p>
    <w:p w14:paraId="0677C693" w14:textId="77777777" w:rsidR="00D84A07" w:rsidRDefault="00D84A07" w:rsidP="00D84A07">
      <w:pPr>
        <w:rPr>
          <w:rFonts w:eastAsia="Malgun Gothic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t xml:space="preserve">Observation </w:t>
      </w:r>
      <w:r>
        <w:rPr>
          <w:rFonts w:eastAsia="Malgun Gothic"/>
          <w:b/>
          <w:bCs/>
          <w:lang w:eastAsia="zh-CN"/>
        </w:rPr>
        <w:t>2</w:t>
      </w:r>
      <w:r w:rsidRPr="00DA266B">
        <w:rPr>
          <w:rFonts w:eastAsia="Malgun Gothic"/>
          <w:b/>
          <w:bCs/>
          <w:lang w:eastAsia="zh-CN"/>
        </w:rPr>
        <w:t xml:space="preserve">. In case </w:t>
      </w:r>
      <w:r w:rsidRPr="00DA266B">
        <w:rPr>
          <w:b/>
          <w:bCs/>
        </w:rPr>
        <w:t>target TCI state is not in the active TCI state list for PDSCH</w:t>
      </w:r>
      <w:r>
        <w:rPr>
          <w:b/>
          <w:bCs/>
        </w:rPr>
        <w:t xml:space="preserve"> </w:t>
      </w:r>
      <w:r w:rsidRPr="00D84A07">
        <w:rPr>
          <w:b/>
          <w:bCs/>
        </w:rPr>
        <w:t>(TO</w:t>
      </w:r>
      <w:r w:rsidRPr="00D84A07">
        <w:rPr>
          <w:b/>
          <w:bCs/>
          <w:vertAlign w:val="subscript"/>
        </w:rPr>
        <w:t xml:space="preserve">k </w:t>
      </w:r>
      <w:r w:rsidRPr="00D84A07">
        <w:rPr>
          <w:b/>
          <w:bCs/>
        </w:rPr>
        <w:t>= 1),</w:t>
      </w:r>
      <w:r w:rsidRPr="00DA266B">
        <w:rPr>
          <w:b/>
          <w:bCs/>
        </w:rPr>
        <w:t xml:space="preserve"> there will </w:t>
      </w:r>
      <w:r>
        <w:rPr>
          <w:b/>
          <w:bCs/>
        </w:rPr>
        <w:t xml:space="preserve">only </w:t>
      </w:r>
      <w:r w:rsidRPr="00DA266B">
        <w:rPr>
          <w:b/>
          <w:bCs/>
        </w:rPr>
        <w:t>be at most ~2ms (</w:t>
      </w:r>
      <w:r w:rsidRPr="00DA266B">
        <w:rPr>
          <w:rFonts w:eastAsia="Malgun Gothic"/>
          <w:b/>
          <w:bCs/>
          <w:lang w:eastAsia="zh-CN"/>
        </w:rPr>
        <w:t>T</w:t>
      </w:r>
      <w:r w:rsidRPr="00DA266B">
        <w:rPr>
          <w:rFonts w:eastAsia="Malgun Gothic"/>
          <w:b/>
          <w:bCs/>
          <w:vertAlign w:val="subscript"/>
          <w:lang w:eastAsia="zh-CN"/>
        </w:rPr>
        <w:t>SSB-proc</w:t>
      </w:r>
      <w:r w:rsidRPr="00DA266B">
        <w:rPr>
          <w:rFonts w:eastAsia="Malgun Gothic"/>
          <w:b/>
          <w:bCs/>
          <w:lang w:eastAsia="zh-CN"/>
        </w:rPr>
        <w:t xml:space="preserve">) when PDCCH performance cannot be guaranteed if NW schedules MAC-CE based TCI state switch exactly 3ms before an SSB. </w:t>
      </w:r>
    </w:p>
    <w:p w14:paraId="26D3CC87" w14:textId="04A762C8" w:rsidR="00B92453" w:rsidRPr="00D30B0C" w:rsidRDefault="00B92453" w:rsidP="00B92453">
      <w:pPr>
        <w:rPr>
          <w:rFonts w:eastAsia="Malgun Gothic"/>
          <w:b/>
          <w:bCs/>
          <w:lang w:eastAsia="zh-CN"/>
        </w:rPr>
      </w:pPr>
      <w:r w:rsidRPr="00D30B0C">
        <w:rPr>
          <w:rFonts w:eastAsia="Malgun Gothic"/>
          <w:b/>
          <w:bCs/>
          <w:lang w:eastAsia="zh-CN"/>
        </w:rPr>
        <w:t xml:space="preserve">Observation 3. Many </w:t>
      </w:r>
      <w:r w:rsidR="00D52B06">
        <w:rPr>
          <w:rFonts w:eastAsia="Malgun Gothic"/>
          <w:b/>
          <w:bCs/>
          <w:lang w:eastAsia="zh-CN"/>
        </w:rPr>
        <w:t xml:space="preserve">R15 </w:t>
      </w:r>
      <w:r w:rsidR="00D52B06" w:rsidRPr="00D30B0C">
        <w:rPr>
          <w:rFonts w:eastAsia="Malgun Gothic"/>
          <w:b/>
          <w:bCs/>
          <w:lang w:eastAsia="zh-CN"/>
        </w:rPr>
        <w:t xml:space="preserve">gNB and </w:t>
      </w:r>
      <w:r w:rsidR="00D52B06">
        <w:rPr>
          <w:rFonts w:eastAsia="Malgun Gothic"/>
          <w:b/>
          <w:bCs/>
          <w:lang w:eastAsia="zh-CN"/>
        </w:rPr>
        <w:t xml:space="preserve">R15 </w:t>
      </w:r>
      <w:r w:rsidR="00D52B06" w:rsidRPr="00D30B0C">
        <w:rPr>
          <w:rFonts w:eastAsia="Malgun Gothic"/>
          <w:b/>
          <w:bCs/>
          <w:lang w:eastAsia="zh-CN"/>
        </w:rPr>
        <w:t xml:space="preserve">UE </w:t>
      </w:r>
      <w:r w:rsidR="00A47203">
        <w:rPr>
          <w:rFonts w:eastAsia="Malgun Gothic"/>
          <w:b/>
          <w:bCs/>
          <w:lang w:eastAsia="zh-CN"/>
        </w:rPr>
        <w:t xml:space="preserve">products </w:t>
      </w:r>
      <w:r w:rsidRPr="00D30B0C">
        <w:rPr>
          <w:rFonts w:eastAsia="Malgun Gothic"/>
          <w:b/>
          <w:bCs/>
          <w:lang w:eastAsia="zh-CN"/>
        </w:rPr>
        <w:t xml:space="preserve">already deployed with commercial quality are compliant with RAN1 specification rather than RAN4. They cannot be recalled or modified with OTA changes. Hence, they will remain non-compliant with RAN4 </w:t>
      </w:r>
      <w:r>
        <w:rPr>
          <w:rFonts w:eastAsia="Malgun Gothic"/>
          <w:b/>
          <w:bCs/>
          <w:lang w:eastAsia="zh-CN"/>
        </w:rPr>
        <w:t xml:space="preserve">if </w:t>
      </w:r>
      <w:r w:rsidR="00A47203">
        <w:rPr>
          <w:rFonts w:eastAsia="Malgun Gothic"/>
          <w:b/>
          <w:bCs/>
          <w:lang w:eastAsia="zh-CN"/>
        </w:rPr>
        <w:t>the</w:t>
      </w:r>
      <w:r>
        <w:rPr>
          <w:rFonts w:eastAsia="Malgun Gothic"/>
          <w:b/>
          <w:bCs/>
          <w:lang w:eastAsia="zh-CN"/>
        </w:rPr>
        <w:t xml:space="preserve"> </w:t>
      </w:r>
      <w:r w:rsidRPr="00D30B0C">
        <w:rPr>
          <w:rFonts w:eastAsia="Malgun Gothic"/>
          <w:b/>
          <w:bCs/>
          <w:lang w:eastAsia="zh-CN"/>
        </w:rPr>
        <w:t>specification</w:t>
      </w:r>
      <w:r>
        <w:rPr>
          <w:rFonts w:eastAsia="Malgun Gothic"/>
          <w:b/>
          <w:bCs/>
          <w:lang w:eastAsia="zh-CN"/>
        </w:rPr>
        <w:t xml:space="preserve"> is not modified</w:t>
      </w:r>
      <w:r w:rsidRPr="00D30B0C">
        <w:rPr>
          <w:rFonts w:eastAsia="Malgun Gothic"/>
          <w:b/>
          <w:bCs/>
          <w:lang w:eastAsia="zh-CN"/>
        </w:rPr>
        <w:t xml:space="preserve">. </w:t>
      </w:r>
    </w:p>
    <w:p w14:paraId="4B7C0144" w14:textId="4FA922C3" w:rsidR="00804DAC" w:rsidRPr="00DA266B" w:rsidRDefault="00DA266B" w:rsidP="00804DAC">
      <w:pPr>
        <w:rPr>
          <w:rFonts w:eastAsia="Batang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t>Proposal 1. Modify MAC-CE based TCI state switch delay requirements as: “</w:t>
      </w:r>
      <w:r w:rsidRPr="00DA266B">
        <w:rPr>
          <w:b/>
          <w:bCs/>
          <w:lang w:eastAsia="zh-CN"/>
        </w:rPr>
        <w:t>The UE shall be able to receive on the old TCI state until slot n+</w:t>
      </w:r>
      <w:r w:rsidRPr="00DA266B">
        <w:rPr>
          <w:rFonts w:eastAsia="Malgun Gothic"/>
          <w:b/>
          <w:bCs/>
          <w:lang w:eastAsia="zh-CN"/>
        </w:rPr>
        <w:t xml:space="preserve"> T</w:t>
      </w:r>
      <w:r w:rsidRPr="00DA266B">
        <w:rPr>
          <w:rFonts w:eastAsia="Malgun Gothic"/>
          <w:b/>
          <w:bCs/>
          <w:vertAlign w:val="subscript"/>
          <w:lang w:eastAsia="zh-CN"/>
        </w:rPr>
        <w:t>HARQ</w:t>
      </w:r>
      <w:r w:rsidRPr="00DA266B">
        <w:rPr>
          <w:rFonts w:eastAsia="Malgun Gothic"/>
          <w:b/>
          <w:bCs/>
          <w:lang w:eastAsia="zh-CN"/>
        </w:rPr>
        <w:t xml:space="preserve"> +3 ms </w:t>
      </w:r>
      <w:r w:rsidRPr="00DA266B">
        <w:rPr>
          <w:rFonts w:eastAsia="Malgun Gothic"/>
          <w:b/>
          <w:bCs/>
          <w:strike/>
          <w:lang w:eastAsia="zh-CN"/>
        </w:rPr>
        <w:t>+TO</w:t>
      </w:r>
      <w:r w:rsidRPr="00DA266B">
        <w:rPr>
          <w:rFonts w:eastAsia="Malgun Gothic"/>
          <w:b/>
          <w:bCs/>
          <w:strike/>
          <w:vertAlign w:val="subscript"/>
          <w:lang w:eastAsia="zh-CN"/>
        </w:rPr>
        <w:t>k</w:t>
      </w:r>
      <w:r w:rsidRPr="00DA266B">
        <w:rPr>
          <w:rFonts w:eastAsia="Malgun Gothic"/>
          <w:b/>
          <w:bCs/>
          <w:strike/>
          <w:lang w:eastAsia="zh-CN"/>
        </w:rPr>
        <w:t>*(T</w:t>
      </w:r>
      <w:r w:rsidRPr="00DA266B">
        <w:rPr>
          <w:rFonts w:eastAsia="Malgun Gothic"/>
          <w:b/>
          <w:bCs/>
          <w:strike/>
          <w:vertAlign w:val="subscript"/>
          <w:lang w:eastAsia="zh-CN"/>
        </w:rPr>
        <w:t>first-SSB</w:t>
      </w:r>
      <w:r w:rsidRPr="00DA266B">
        <w:rPr>
          <w:b/>
          <w:bCs/>
          <w:strike/>
          <w:lang w:eastAsia="zh-CN"/>
        </w:rPr>
        <w:t>)</w:t>
      </w:r>
      <w:r w:rsidRPr="00DA266B">
        <w:rPr>
          <w:b/>
          <w:bCs/>
          <w:lang w:eastAsia="zh-CN"/>
        </w:rPr>
        <w:t>.</w:t>
      </w:r>
      <w:r w:rsidRPr="00DA266B">
        <w:rPr>
          <w:rFonts w:eastAsia="Batang"/>
          <w:b/>
          <w:bCs/>
          <w:lang w:eastAsia="zh-CN"/>
        </w:rPr>
        <w:t>”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12F05F4D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2002</w:t>
      </w:r>
      <w:r w:rsidR="00E955F9">
        <w:rPr>
          <w:lang w:val="en-US"/>
        </w:rPr>
        <w:t>052</w:t>
      </w:r>
    </w:p>
    <w:p w14:paraId="2A84CC4A" w14:textId="4979C1C8" w:rsidR="00E955F9" w:rsidRDefault="00E955F9" w:rsidP="0045046B">
      <w:pPr>
        <w:rPr>
          <w:lang w:val="en-US"/>
        </w:rPr>
      </w:pPr>
      <w:r>
        <w:rPr>
          <w:lang w:val="en-US"/>
        </w:rPr>
        <w:t>[2] R4-2002</w:t>
      </w:r>
      <w:r w:rsidR="00EF4086">
        <w:rPr>
          <w:lang w:val="en-US"/>
        </w:rPr>
        <w:t>291</w:t>
      </w:r>
    </w:p>
    <w:p w14:paraId="5F0BF603" w14:textId="350A75ED" w:rsidR="00325C61" w:rsidRPr="0045046B" w:rsidRDefault="00325C61" w:rsidP="0045046B">
      <w:pPr>
        <w:rPr>
          <w:lang w:val="en-US"/>
        </w:rPr>
      </w:pPr>
      <w:r>
        <w:rPr>
          <w:lang w:val="en-US"/>
        </w:rPr>
        <w:t>[3] R4-200</w:t>
      </w:r>
      <w:r w:rsidR="00827C69">
        <w:rPr>
          <w:lang w:val="en-US"/>
        </w:rPr>
        <w:t>6177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E78CD" w14:textId="77777777" w:rsidR="006E45F0" w:rsidRDefault="006E45F0">
      <w:r>
        <w:separator/>
      </w:r>
    </w:p>
  </w:endnote>
  <w:endnote w:type="continuationSeparator" w:id="0">
    <w:p w14:paraId="127E3501" w14:textId="77777777" w:rsidR="006E45F0" w:rsidRDefault="006E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43E76" w14:textId="77777777" w:rsidR="00D0208D" w:rsidRDefault="00D020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F4514" w14:textId="77777777" w:rsidR="006E45F0" w:rsidRDefault="006E45F0">
      <w:r>
        <w:separator/>
      </w:r>
    </w:p>
  </w:footnote>
  <w:footnote w:type="continuationSeparator" w:id="0">
    <w:p w14:paraId="39B2695E" w14:textId="77777777" w:rsidR="006E45F0" w:rsidRDefault="006E4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141A3" w14:textId="77777777" w:rsidR="00D0208D" w:rsidRDefault="00D020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4FD5" w14:textId="77777777" w:rsidR="00D0208D" w:rsidRDefault="00D020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E04DA" w14:textId="77777777" w:rsidR="00D0208D" w:rsidRDefault="00D020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1C0A4D"/>
    <w:multiLevelType w:val="hybridMultilevel"/>
    <w:tmpl w:val="D9F40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3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E2BE0"/>
    <w:multiLevelType w:val="hybridMultilevel"/>
    <w:tmpl w:val="C0C4B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2"/>
  </w:num>
  <w:num w:numId="3">
    <w:abstractNumId w:val="35"/>
  </w:num>
  <w:num w:numId="4">
    <w:abstractNumId w:val="15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4"/>
  </w:num>
  <w:num w:numId="8">
    <w:abstractNumId w:val="11"/>
  </w:num>
  <w:num w:numId="9">
    <w:abstractNumId w:val="23"/>
  </w:num>
  <w:num w:numId="10">
    <w:abstractNumId w:val="5"/>
  </w:num>
  <w:num w:numId="11">
    <w:abstractNumId w:val="20"/>
  </w:num>
  <w:num w:numId="12">
    <w:abstractNumId w:val="9"/>
  </w:num>
  <w:num w:numId="13">
    <w:abstractNumId w:val="19"/>
  </w:num>
  <w:num w:numId="14">
    <w:abstractNumId w:val="3"/>
  </w:num>
  <w:num w:numId="15">
    <w:abstractNumId w:val="39"/>
  </w:num>
  <w:num w:numId="16">
    <w:abstractNumId w:val="28"/>
  </w:num>
  <w:num w:numId="17">
    <w:abstractNumId w:val="12"/>
  </w:num>
  <w:num w:numId="18">
    <w:abstractNumId w:val="38"/>
  </w:num>
  <w:num w:numId="19">
    <w:abstractNumId w:val="27"/>
  </w:num>
  <w:num w:numId="20">
    <w:abstractNumId w:val="18"/>
  </w:num>
  <w:num w:numId="21">
    <w:abstractNumId w:val="29"/>
  </w:num>
  <w:num w:numId="22">
    <w:abstractNumId w:val="25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0"/>
  </w:num>
  <w:num w:numId="26">
    <w:abstractNumId w:val="33"/>
  </w:num>
  <w:num w:numId="27">
    <w:abstractNumId w:val="8"/>
  </w:num>
  <w:num w:numId="28">
    <w:abstractNumId w:val="31"/>
  </w:num>
  <w:num w:numId="29">
    <w:abstractNumId w:val="21"/>
  </w:num>
  <w:num w:numId="30">
    <w:abstractNumId w:val="17"/>
  </w:num>
  <w:num w:numId="31">
    <w:abstractNumId w:val="24"/>
  </w:num>
  <w:num w:numId="32">
    <w:abstractNumId w:val="13"/>
  </w:num>
  <w:num w:numId="33">
    <w:abstractNumId w:val="4"/>
  </w:num>
  <w:num w:numId="34">
    <w:abstractNumId w:val="16"/>
  </w:num>
  <w:num w:numId="35">
    <w:abstractNumId w:val="10"/>
  </w:num>
  <w:num w:numId="36">
    <w:abstractNumId w:val="7"/>
  </w:num>
  <w:num w:numId="37">
    <w:abstractNumId w:val="37"/>
  </w:num>
  <w:num w:numId="38">
    <w:abstractNumId w:val="36"/>
  </w:num>
  <w:num w:numId="39">
    <w:abstractNumId w:val="34"/>
  </w:num>
  <w:num w:numId="40">
    <w:abstractNumId w:val="26"/>
  </w:num>
  <w:num w:numId="4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5D9"/>
    <w:rsid w:val="0004791F"/>
    <w:rsid w:val="0004795F"/>
    <w:rsid w:val="00047A40"/>
    <w:rsid w:val="00050038"/>
    <w:rsid w:val="00050E50"/>
    <w:rsid w:val="0005179F"/>
    <w:rsid w:val="00051970"/>
    <w:rsid w:val="00051E7D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3C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889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6E5A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2EAA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6F07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2B1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25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6DD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547C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CAC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1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210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B7F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C02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A21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7D5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476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AA3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09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4DB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DF3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AD6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59F"/>
    <w:rsid w:val="006E3617"/>
    <w:rsid w:val="006E367B"/>
    <w:rsid w:val="006E36FB"/>
    <w:rsid w:val="006E37D5"/>
    <w:rsid w:val="006E380C"/>
    <w:rsid w:val="006E4356"/>
    <w:rsid w:val="006E45F0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6EDA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667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C69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07"/>
    <w:rsid w:val="008A2168"/>
    <w:rsid w:val="008A224A"/>
    <w:rsid w:val="008A259B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76A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B5C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992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0A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9E1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B65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203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41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C34"/>
    <w:rsid w:val="00B56EA7"/>
    <w:rsid w:val="00B57652"/>
    <w:rsid w:val="00B576FE"/>
    <w:rsid w:val="00B57CDE"/>
    <w:rsid w:val="00B57DAF"/>
    <w:rsid w:val="00B57E44"/>
    <w:rsid w:val="00B57E86"/>
    <w:rsid w:val="00B602CF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453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08D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8F8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182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0C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B06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A07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66B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1C9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1FBB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AF7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E5F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87735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55F9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89E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86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A7E44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1C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98D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5E876-3855-4F08-A2A2-48403A2C6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11</TotalTime>
  <Pages>2</Pages>
  <Words>767</Words>
  <Characters>3788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15</cp:revision>
  <cp:lastPrinted>2009-04-22T21:01:00Z</cp:lastPrinted>
  <dcterms:created xsi:type="dcterms:W3CDTF">2020-05-15T18:35:00Z</dcterms:created>
  <dcterms:modified xsi:type="dcterms:W3CDTF">2020-05-15T22:04:00Z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